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ef34c60fcac4759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50830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RAZVOJNA AGENCIJA OPĆINE GRAČAC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21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VI 2026.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22.071,86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26.788,04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121,4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18.991,06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26.571,87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139,9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3.080,80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216,17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7,0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PRIHODA OD NEFINANCIJSKE IMOVINE (šifre 7-4,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X002, 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I PRIMITAKA (šifre X678-Y345)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3.080,80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216,17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7,0</w:t>
            </w:r>
          </w:p>
        </w:tc>
      </w:tr>
    </w:tbl>
    <w:p>
      <w:pPr>
        <w:spacing w:before="0" w:after="0"/>
      </w:pPr>
    </w:p>
    <w:p>
      <w:r>
        <w:t xml:space="preserve">Financijski izvještaji sastavljeni su za razdoblje od 1. siječnja do 30. lipnja 2026. godine u skladu s odredbama Zakona o proračunu, Zakona o računovodstvu proračuna te Pravilnika o financijskom izvještavanju u proračunskom računovodstvu.</w:t>
      </w:r>
    </w:p>
    <w:p>
      <w:r>
        <w:t xml:space="preserve">Obveznik je Razvojna agencija Općine Gračac, javna ustanova osnovana od strane Općine Gračac radi obavljanja poslova lokalnog razvoja, pripreme i provedbe razvojnih projekata, pružanja stručne pomoći jedinici lokalne samouprave, poduzetnicima i drugim korisnicima te poticanja gospodarskog, društvenog i turističkog razvoja.</w:t>
      </w:r>
    </w:p>
    <w:p>
      <w:r>
        <w:t xml:space="preserve">Sjedište ustanove je u Gračacu.</w:t>
      </w:r>
    </w:p>
    <w:p>
      <w:r>
        <w:t xml:space="preserve">Financijski izvještaji sastavljeni su primjenom načela proračunskog računovodstva, na temelju poslovnih knjiga i vjerodostojnih knjigovodstvenih isprava.</w:t>
      </w:r>
    </w:p>
    <w:p>
      <w:r>
        <w:t xml:space="preserve">U izvještajnom razdoblju iskazani su ukupni prihodi poslovanja u iznosu od 26.788,04 EUR te ukupni rashodi poslovanja u iznosu 26.571,87 EUR. Prihodi i rashodi od nefinancijske imovine, kao i primici i izdaci od financijske imovine i zaduživanja, nisu ostvareni u izvještajnom razdoblju.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Na dan 30. lipnja 2026. godine iskazana je dospjela obveza za financijske rashode u iznosu od 0,09 EUR, koja se odnosi na obračunatu kamatu. S obzirom na mali iznos, obveza nema značajan utjecaj na financijski položaj ustanove te će biti usklađena u sljedećem izvještajnom razdoblju.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5336ef72fd4b4bde" /></Relationships>
</file>